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66AFF" w14:textId="77777777" w:rsidR="0080254C" w:rsidRPr="00A750D7" w:rsidRDefault="0080254C" w:rsidP="0080254C">
      <w:pPr>
        <w:pStyle w:val="MTtulo1"/>
        <w:jc w:val="left"/>
        <w:rPr>
          <w:lang w:val="es-ES_tradnl"/>
        </w:rPr>
      </w:pPr>
      <w:bookmarkStart w:id="0" w:name="_Toc461391138"/>
      <w:bookmarkStart w:id="1" w:name="_Toc461986566"/>
      <w:bookmarkStart w:id="2" w:name="_Toc461989055"/>
      <w:bookmarkStart w:id="3" w:name="_Toc461990980"/>
      <w:bookmarkStart w:id="4" w:name="_Toc461992839"/>
      <w:bookmarkStart w:id="5" w:name="_Toc462494685"/>
      <w:bookmarkStart w:id="6" w:name="_Toc462500738"/>
      <w:bookmarkStart w:id="7" w:name="_Toc463196437"/>
      <w:bookmarkStart w:id="8" w:name="_Toc464241286"/>
      <w:bookmarkStart w:id="9" w:name="_Toc464411866"/>
      <w:bookmarkStart w:id="10" w:name="_Toc464421683"/>
      <w:bookmarkStart w:id="11" w:name="_Toc464423352"/>
      <w:bookmarkStart w:id="12" w:name="_Toc465017003"/>
      <w:bookmarkStart w:id="13" w:name="_Toc465625227"/>
      <w:bookmarkStart w:id="14" w:name="_Toc466220597"/>
      <w:r w:rsidRPr="00A750D7">
        <w:rPr>
          <w:lang w:val="es-ES_tradnl"/>
        </w:rPr>
        <w:t>SARP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463B132" w14:textId="77777777" w:rsidR="0080254C" w:rsidRPr="00A750D7" w:rsidRDefault="0080254C" w:rsidP="0080254C">
      <w:pPr>
        <w:pStyle w:val="MTtulo1"/>
        <w:jc w:val="left"/>
        <w:rPr>
          <w:lang w:val="es-ES_tradnl"/>
        </w:rPr>
      </w:pPr>
      <w:r>
        <w:rPr>
          <w:lang w:val="es-ES_tradnl"/>
        </w:rPr>
        <w:t>Criterios de Aceptación</w:t>
      </w:r>
    </w:p>
    <w:p w14:paraId="2F91AF0B" w14:textId="77777777" w:rsidR="0080254C" w:rsidRPr="00A750D7" w:rsidRDefault="0080254C" w:rsidP="0080254C">
      <w:pPr>
        <w:pStyle w:val="MTtulo1"/>
        <w:jc w:val="left"/>
        <w:rPr>
          <w:lang w:val="es-ES_tradnl"/>
        </w:rPr>
      </w:pPr>
      <w:bookmarkStart w:id="15" w:name="_Toc461391140"/>
      <w:bookmarkStart w:id="16" w:name="_Toc461986568"/>
      <w:bookmarkStart w:id="17" w:name="_Toc461989057"/>
      <w:bookmarkStart w:id="18" w:name="_Toc461990982"/>
      <w:bookmarkStart w:id="19" w:name="_Toc461992841"/>
      <w:bookmarkStart w:id="20" w:name="_Toc462494687"/>
      <w:bookmarkStart w:id="21" w:name="_Toc462500740"/>
      <w:bookmarkStart w:id="22" w:name="_Toc463196439"/>
      <w:bookmarkStart w:id="23" w:name="_Toc464241288"/>
      <w:bookmarkStart w:id="24" w:name="_Toc464411868"/>
      <w:bookmarkStart w:id="25" w:name="_Toc464421685"/>
      <w:bookmarkStart w:id="26" w:name="_Toc464423354"/>
      <w:bookmarkStart w:id="27" w:name="_Toc465017005"/>
      <w:bookmarkStart w:id="28" w:name="_Toc465625229"/>
      <w:bookmarkStart w:id="29" w:name="_Toc466220599"/>
      <w:r>
        <w:rPr>
          <w:lang w:val="es-ES_tradnl"/>
        </w:rPr>
        <w:t>Versión 1</w:t>
      </w:r>
      <w:r w:rsidRPr="00A750D7">
        <w:rPr>
          <w:lang w:val="es-ES_tradnl"/>
        </w:rPr>
        <w:t>.0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F517C9" w14:textId="77777777" w:rsidR="0080254C" w:rsidRPr="00A750D7" w:rsidRDefault="0080254C" w:rsidP="0080254C">
      <w:pPr>
        <w:pStyle w:val="infoblue"/>
        <w:rPr>
          <w:lang w:val="es-ES_tradnl"/>
        </w:rPr>
      </w:pPr>
      <w:r w:rsidRPr="00A750D7">
        <w:rPr>
          <w:lang w:val="es-ES_tradnl"/>
        </w:rPr>
        <w:t> </w:t>
      </w:r>
    </w:p>
    <w:p w14:paraId="0F9E24E2" w14:textId="77777777" w:rsidR="0080254C" w:rsidRPr="00A750D7" w:rsidRDefault="0080254C" w:rsidP="0080254C">
      <w:pPr>
        <w:pStyle w:val="infoblue"/>
        <w:rPr>
          <w:lang w:val="es-ES_tradnl"/>
        </w:rPr>
      </w:pPr>
    </w:p>
    <w:p w14:paraId="40F9A1AF" w14:textId="77777777" w:rsidR="0080254C" w:rsidRPr="00A750D7" w:rsidRDefault="0080254C" w:rsidP="0080254C">
      <w:pPr>
        <w:pStyle w:val="infoblue"/>
        <w:rPr>
          <w:lang w:val="es-ES_tradnl"/>
        </w:rPr>
      </w:pPr>
    </w:p>
    <w:p w14:paraId="43BC8E2A" w14:textId="77777777" w:rsidR="0080254C" w:rsidRPr="00A750D7" w:rsidRDefault="0080254C" w:rsidP="0080254C">
      <w:pPr>
        <w:pStyle w:val="infoblue"/>
        <w:rPr>
          <w:lang w:val="es-ES_tradnl"/>
        </w:rPr>
      </w:pPr>
    </w:p>
    <w:p w14:paraId="33A6C80F" w14:textId="77777777" w:rsidR="0080254C" w:rsidRPr="00A750D7" w:rsidRDefault="0080254C" w:rsidP="0080254C">
      <w:pPr>
        <w:pStyle w:val="MTtulo1"/>
        <w:rPr>
          <w:lang w:val="es-ES_tradnl"/>
        </w:rPr>
      </w:pPr>
      <w:bookmarkStart w:id="30" w:name="_Toc461391141"/>
      <w:bookmarkStart w:id="31" w:name="_Toc461986569"/>
      <w:bookmarkStart w:id="32" w:name="_Toc461989058"/>
      <w:bookmarkStart w:id="33" w:name="_Toc461990983"/>
      <w:bookmarkStart w:id="34" w:name="_Toc461992842"/>
      <w:bookmarkStart w:id="35" w:name="_Toc462494688"/>
      <w:bookmarkStart w:id="36" w:name="_Toc462500741"/>
      <w:bookmarkStart w:id="37" w:name="_Toc463196440"/>
      <w:bookmarkStart w:id="38" w:name="_Toc464241289"/>
      <w:bookmarkStart w:id="39" w:name="_Toc464411869"/>
      <w:bookmarkStart w:id="40" w:name="_Toc464421686"/>
      <w:bookmarkStart w:id="41" w:name="_Toc464423355"/>
      <w:bookmarkStart w:id="42" w:name="_Toc465017006"/>
      <w:bookmarkStart w:id="43" w:name="_Toc465625230"/>
      <w:bookmarkStart w:id="44" w:name="_Toc466220600"/>
      <w:r w:rsidRPr="00A750D7">
        <w:rPr>
          <w:lang w:val="es-ES_tradnl"/>
        </w:rPr>
        <w:t>Historia de revisiones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W w:w="8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2"/>
        <w:gridCol w:w="1117"/>
        <w:gridCol w:w="2598"/>
        <w:gridCol w:w="2268"/>
      </w:tblGrid>
      <w:tr w:rsidR="0080254C" w:rsidRPr="00A750D7" w14:paraId="1136BDF7" w14:textId="77777777" w:rsidTr="00572575">
        <w:trPr>
          <w:jc w:val="center"/>
        </w:trPr>
        <w:tc>
          <w:tcPr>
            <w:tcW w:w="2192" w:type="dxa"/>
            <w:shd w:val="clear" w:color="auto" w:fill="FFFFFF"/>
          </w:tcPr>
          <w:p w14:paraId="2055C962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Fecha de Entrega</w:t>
            </w:r>
          </w:p>
        </w:tc>
        <w:tc>
          <w:tcPr>
            <w:tcW w:w="1117" w:type="dxa"/>
            <w:shd w:val="clear" w:color="auto" w:fill="FFFFFF"/>
          </w:tcPr>
          <w:p w14:paraId="161B7797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Versión</w:t>
            </w:r>
          </w:p>
        </w:tc>
        <w:tc>
          <w:tcPr>
            <w:tcW w:w="2598" w:type="dxa"/>
            <w:shd w:val="clear" w:color="auto" w:fill="FFFFFF"/>
          </w:tcPr>
          <w:p w14:paraId="36C79E2B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Semana de Entrega</w:t>
            </w:r>
          </w:p>
        </w:tc>
        <w:tc>
          <w:tcPr>
            <w:tcW w:w="2268" w:type="dxa"/>
            <w:shd w:val="clear" w:color="auto" w:fill="FFFFFF"/>
          </w:tcPr>
          <w:p w14:paraId="230BA7F2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Autor</w:t>
            </w:r>
          </w:p>
        </w:tc>
      </w:tr>
      <w:tr w:rsidR="0080254C" w:rsidRPr="00A750D7" w14:paraId="3170530B" w14:textId="77777777" w:rsidTr="00572575">
        <w:trPr>
          <w:jc w:val="center"/>
        </w:trPr>
        <w:tc>
          <w:tcPr>
            <w:tcW w:w="2192" w:type="dxa"/>
          </w:tcPr>
          <w:p w14:paraId="7C227868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>
              <w:rPr>
                <w:lang w:val="es-ES_tradnl"/>
              </w:rPr>
              <w:t>06/11</w:t>
            </w:r>
            <w:r w:rsidRPr="00A750D7">
              <w:rPr>
                <w:lang w:val="es-ES_tradnl"/>
              </w:rPr>
              <w:t>/2016</w:t>
            </w:r>
          </w:p>
        </w:tc>
        <w:tc>
          <w:tcPr>
            <w:tcW w:w="1117" w:type="dxa"/>
          </w:tcPr>
          <w:p w14:paraId="51721927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1.0</w:t>
            </w:r>
          </w:p>
        </w:tc>
        <w:tc>
          <w:tcPr>
            <w:tcW w:w="2598" w:type="dxa"/>
          </w:tcPr>
          <w:p w14:paraId="213BD240" w14:textId="77777777" w:rsidR="0080254C" w:rsidRPr="00A750D7" w:rsidRDefault="0080254C" w:rsidP="0080254C">
            <w:pPr>
              <w:pStyle w:val="MNormal"/>
              <w:rPr>
                <w:lang w:val="es-ES_tradnl"/>
              </w:rPr>
            </w:pPr>
            <w:r>
              <w:rPr>
                <w:lang w:val="es-ES_tradnl"/>
              </w:rPr>
              <w:t>Primera versión.</w:t>
            </w:r>
          </w:p>
        </w:tc>
        <w:tc>
          <w:tcPr>
            <w:tcW w:w="2268" w:type="dxa"/>
          </w:tcPr>
          <w:p w14:paraId="0EFD9601" w14:textId="77777777" w:rsidR="0080254C" w:rsidRPr="00A750D7" w:rsidRDefault="0080254C" w:rsidP="00572575">
            <w:pPr>
              <w:pStyle w:val="MNormal"/>
              <w:rPr>
                <w:lang w:val="es-ES_tradnl"/>
              </w:rPr>
            </w:pPr>
            <w:r w:rsidRPr="00A750D7">
              <w:rPr>
                <w:lang w:val="es-ES_tradnl"/>
              </w:rPr>
              <w:t>María Belén Taboas</w:t>
            </w:r>
          </w:p>
        </w:tc>
      </w:tr>
    </w:tbl>
    <w:p w14:paraId="3D2EAD0E" w14:textId="77777777" w:rsidR="0080254C" w:rsidRDefault="0080254C"/>
    <w:p w14:paraId="42B1C6AE" w14:textId="77777777" w:rsidR="0080254C" w:rsidRDefault="0080254C">
      <w:r>
        <w:br w:type="page"/>
      </w:r>
    </w:p>
    <w:p w14:paraId="391FDDD3" w14:textId="77777777" w:rsidR="003272AA" w:rsidRDefault="0080254C" w:rsidP="0080254C">
      <w:pPr>
        <w:pStyle w:val="ListParagraph"/>
        <w:numPr>
          <w:ilvl w:val="0"/>
          <w:numId w:val="1"/>
        </w:numPr>
        <w:rPr>
          <w:rFonts w:ascii="Verdana" w:hAnsi="Verdana" w:cs="Arial"/>
          <w:b/>
          <w:sz w:val="22"/>
          <w:szCs w:val="22"/>
        </w:rPr>
      </w:pPr>
      <w:r w:rsidRPr="0080254C">
        <w:rPr>
          <w:rFonts w:ascii="Verdana" w:hAnsi="Verdana" w:cs="Arial"/>
          <w:b/>
          <w:sz w:val="22"/>
          <w:szCs w:val="22"/>
        </w:rPr>
        <w:lastRenderedPageBreak/>
        <w:t>Criterios de Aceptación</w:t>
      </w:r>
    </w:p>
    <w:p w14:paraId="168DAE9D" w14:textId="77777777" w:rsidR="0080254C" w:rsidRDefault="0080254C" w:rsidP="0080254C">
      <w:pPr>
        <w:ind w:left="360"/>
        <w:rPr>
          <w:rFonts w:ascii="Verdana" w:hAnsi="Verdana" w:cs="Arial"/>
          <w:b/>
          <w:sz w:val="22"/>
          <w:szCs w:val="22"/>
        </w:rPr>
      </w:pPr>
    </w:p>
    <w:p w14:paraId="54707109" w14:textId="77777777" w:rsidR="0080254C" w:rsidRDefault="0080254C" w:rsidP="0080254C">
      <w:pPr>
        <w:ind w:left="36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A continuación se presentan los criterios de aceptac</w:t>
      </w:r>
      <w:r w:rsidR="00467145">
        <w:rPr>
          <w:rFonts w:ascii="Verdana" w:hAnsi="Verdana" w:cs="Arial"/>
          <w:szCs w:val="20"/>
        </w:rPr>
        <w:t>ión establecidos. Éstos son los mínimos requeridos para que el sistema sea aceptado por el cliente.</w:t>
      </w:r>
    </w:p>
    <w:p w14:paraId="78AD425A" w14:textId="77777777" w:rsidR="0080254C" w:rsidRDefault="0080254C" w:rsidP="0080254C">
      <w:pPr>
        <w:ind w:left="360"/>
        <w:rPr>
          <w:rFonts w:ascii="Verdana" w:hAnsi="Verdana" w:cs="Arial"/>
          <w:szCs w:val="20"/>
        </w:rPr>
      </w:pPr>
    </w:p>
    <w:p w14:paraId="29D77FF7" w14:textId="77777777" w:rsidR="0080254C" w:rsidRDefault="0080254C" w:rsidP="0080254C">
      <w:pPr>
        <w:pStyle w:val="ListParagraph"/>
        <w:numPr>
          <w:ilvl w:val="1"/>
          <w:numId w:val="1"/>
        </w:numPr>
        <w:rPr>
          <w:rFonts w:ascii="Verdana" w:hAnsi="Verdana" w:cs="Arial"/>
          <w:b/>
          <w:szCs w:val="20"/>
        </w:rPr>
      </w:pPr>
      <w:r w:rsidRPr="0080254C">
        <w:rPr>
          <w:rFonts w:ascii="Verdana" w:hAnsi="Verdana" w:cs="Arial"/>
          <w:b/>
          <w:szCs w:val="20"/>
        </w:rPr>
        <w:t>Implementación y ejecución del ciclo de atención completo</w:t>
      </w:r>
    </w:p>
    <w:p w14:paraId="4B54F794" w14:textId="77777777" w:rsidR="00197548" w:rsidRDefault="00197548" w:rsidP="00197548">
      <w:pPr>
        <w:pStyle w:val="ListParagraph"/>
        <w:ind w:left="1080"/>
        <w:rPr>
          <w:rFonts w:ascii="Verdana" w:hAnsi="Verdana" w:cs="Arial"/>
          <w:b/>
          <w:szCs w:val="20"/>
        </w:rPr>
      </w:pPr>
    </w:p>
    <w:p w14:paraId="15AAC23C" w14:textId="77777777" w:rsidR="0080254C" w:rsidRDefault="0080254C" w:rsidP="0080254C">
      <w:pPr>
        <w:ind w:left="72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Este criterio implica que se pueda ejecutar de princ</w:t>
      </w:r>
      <w:r w:rsidR="00197548">
        <w:rPr>
          <w:rFonts w:ascii="Verdana" w:hAnsi="Verdana" w:cs="Arial"/>
          <w:szCs w:val="20"/>
        </w:rPr>
        <w:t xml:space="preserve">ipio a fin el ciclo de atención normal </w:t>
      </w:r>
      <w:r>
        <w:rPr>
          <w:rFonts w:ascii="Verdana" w:hAnsi="Verdana" w:cs="Arial"/>
          <w:szCs w:val="20"/>
        </w:rPr>
        <w:t>de los números, es decir:</w:t>
      </w:r>
    </w:p>
    <w:p w14:paraId="52EA26A0" w14:textId="77777777" w:rsidR="00197548" w:rsidRDefault="00197548" w:rsidP="0080254C">
      <w:pPr>
        <w:ind w:left="720"/>
        <w:rPr>
          <w:rFonts w:ascii="Verdana" w:hAnsi="Verdana" w:cs="Arial"/>
          <w:szCs w:val="20"/>
        </w:rPr>
      </w:pPr>
    </w:p>
    <w:p w14:paraId="7BD8B61E" w14:textId="77777777" w:rsidR="0080254C" w:rsidRDefault="00197548" w:rsidP="0080254C">
      <w:pPr>
        <w:pStyle w:val="ListParagraph"/>
        <w:numPr>
          <w:ilvl w:val="0"/>
          <w:numId w:val="5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Obtención de</w:t>
      </w:r>
      <w:r w:rsidR="0080254C">
        <w:rPr>
          <w:rFonts w:ascii="Verdana" w:hAnsi="Verdana" w:cs="Arial"/>
          <w:szCs w:val="20"/>
        </w:rPr>
        <w:t xml:space="preserve"> un número, ya sea por SAE o sin reserva previa.</w:t>
      </w:r>
    </w:p>
    <w:p w14:paraId="43CF8F9D" w14:textId="77777777" w:rsidR="0080254C" w:rsidRDefault="00197548" w:rsidP="0080254C">
      <w:pPr>
        <w:pStyle w:val="ListParagraph"/>
        <w:numPr>
          <w:ilvl w:val="0"/>
          <w:numId w:val="5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Agregar dicho número a la cola de espera.</w:t>
      </w:r>
    </w:p>
    <w:p w14:paraId="0CC55779" w14:textId="77777777" w:rsidR="00197548" w:rsidRDefault="00197548" w:rsidP="0080254C">
      <w:pPr>
        <w:pStyle w:val="ListParagraph"/>
        <w:numPr>
          <w:ilvl w:val="0"/>
          <w:numId w:val="5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Llamado de un número para ser atendido.</w:t>
      </w:r>
    </w:p>
    <w:p w14:paraId="09B983D8" w14:textId="77777777" w:rsidR="00197548" w:rsidRDefault="00197548" w:rsidP="0080254C">
      <w:pPr>
        <w:pStyle w:val="ListParagraph"/>
        <w:numPr>
          <w:ilvl w:val="0"/>
          <w:numId w:val="5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Atención de un número.</w:t>
      </w:r>
    </w:p>
    <w:p w14:paraId="2D03A281" w14:textId="77777777" w:rsidR="00197548" w:rsidRDefault="00197548" w:rsidP="0080254C">
      <w:pPr>
        <w:pStyle w:val="ListParagraph"/>
        <w:numPr>
          <w:ilvl w:val="0"/>
          <w:numId w:val="5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Finalizar la atención de un número.</w:t>
      </w:r>
    </w:p>
    <w:p w14:paraId="7F7DE8B4" w14:textId="77777777" w:rsidR="00197548" w:rsidRDefault="00197548" w:rsidP="00197548">
      <w:pPr>
        <w:rPr>
          <w:rFonts w:ascii="Verdana" w:hAnsi="Verdana" w:cs="Arial"/>
          <w:szCs w:val="20"/>
        </w:rPr>
      </w:pPr>
    </w:p>
    <w:p w14:paraId="1C554A4A" w14:textId="77777777" w:rsidR="00197548" w:rsidRDefault="00197548" w:rsidP="00197548">
      <w:pPr>
        <w:ind w:left="72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En el ciclo de atención también se deben contemplar posibles flujos alternativos como por ejemplo:</w:t>
      </w:r>
    </w:p>
    <w:p w14:paraId="0F0FA6F8" w14:textId="77777777" w:rsidR="00197548" w:rsidRDefault="00197548" w:rsidP="00197548">
      <w:pPr>
        <w:ind w:left="720"/>
        <w:rPr>
          <w:rFonts w:ascii="Verdana" w:hAnsi="Verdana" w:cs="Arial"/>
          <w:szCs w:val="20"/>
        </w:rPr>
      </w:pPr>
    </w:p>
    <w:p w14:paraId="66852067" w14:textId="77777777" w:rsidR="00197548" w:rsidRDefault="00197548" w:rsidP="00197548">
      <w:pPr>
        <w:pStyle w:val="ListParagraph"/>
        <w:numPr>
          <w:ilvl w:val="0"/>
          <w:numId w:val="6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Poder desviar un número de un sector a otro.</w:t>
      </w:r>
    </w:p>
    <w:p w14:paraId="1C3904FC" w14:textId="77777777" w:rsidR="00197548" w:rsidRDefault="00197548" w:rsidP="00197548">
      <w:pPr>
        <w:pStyle w:val="ListParagraph"/>
        <w:numPr>
          <w:ilvl w:val="0"/>
          <w:numId w:val="6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Transferir un número de un puesto a otro.</w:t>
      </w:r>
    </w:p>
    <w:p w14:paraId="5280EACC" w14:textId="77777777" w:rsidR="00197548" w:rsidRDefault="00197548" w:rsidP="00197548">
      <w:pPr>
        <w:pStyle w:val="ListParagraph"/>
        <w:numPr>
          <w:ilvl w:val="0"/>
          <w:numId w:val="6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Pausar un número.</w:t>
      </w:r>
    </w:p>
    <w:p w14:paraId="36BC773E" w14:textId="77777777" w:rsidR="00197548" w:rsidRDefault="00197548" w:rsidP="00197548">
      <w:pPr>
        <w:pStyle w:val="ListParagraph"/>
        <w:numPr>
          <w:ilvl w:val="0"/>
          <w:numId w:val="6"/>
        </w:numPr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Re-llamar un número.</w:t>
      </w:r>
    </w:p>
    <w:p w14:paraId="773744E9" w14:textId="77777777" w:rsidR="00197548" w:rsidRDefault="00197548" w:rsidP="00197548">
      <w:pPr>
        <w:ind w:left="720"/>
        <w:rPr>
          <w:rFonts w:ascii="Verdana" w:hAnsi="Verdana" w:cs="Arial"/>
          <w:szCs w:val="20"/>
        </w:rPr>
      </w:pPr>
    </w:p>
    <w:p w14:paraId="1E5B921D" w14:textId="77777777" w:rsidR="00197548" w:rsidRPr="00197548" w:rsidRDefault="00197548" w:rsidP="00197548">
      <w:pPr>
        <w:ind w:left="72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Si bien estos flujos deben ejecutarse en el sistema, se dará prioridad al flujo normal de la atención.</w:t>
      </w:r>
    </w:p>
    <w:p w14:paraId="3A011291" w14:textId="77777777" w:rsidR="00197548" w:rsidRDefault="00197548" w:rsidP="00197548">
      <w:pPr>
        <w:pStyle w:val="ListParagraph"/>
        <w:ind w:left="1440"/>
        <w:rPr>
          <w:rFonts w:ascii="Verdana" w:hAnsi="Verdana" w:cs="Arial"/>
          <w:szCs w:val="20"/>
        </w:rPr>
      </w:pPr>
    </w:p>
    <w:p w14:paraId="563208B6" w14:textId="77777777" w:rsidR="00197548" w:rsidRDefault="00197548" w:rsidP="00197548">
      <w:pPr>
        <w:pStyle w:val="ListParagraph"/>
        <w:numPr>
          <w:ilvl w:val="1"/>
          <w:numId w:val="1"/>
        </w:numPr>
        <w:rPr>
          <w:rFonts w:ascii="Verdana" w:hAnsi="Verdana" w:cs="Arial"/>
          <w:b/>
          <w:szCs w:val="20"/>
        </w:rPr>
      </w:pPr>
      <w:r>
        <w:rPr>
          <w:rFonts w:ascii="Verdana" w:hAnsi="Verdana" w:cs="Arial"/>
          <w:b/>
          <w:szCs w:val="20"/>
        </w:rPr>
        <w:t>Configuraciones</w:t>
      </w:r>
    </w:p>
    <w:p w14:paraId="58850542" w14:textId="77777777" w:rsidR="00197548" w:rsidRDefault="00197548" w:rsidP="00197548">
      <w:pPr>
        <w:rPr>
          <w:rFonts w:ascii="Verdana" w:hAnsi="Verdana" w:cs="Arial"/>
          <w:b/>
          <w:szCs w:val="20"/>
        </w:rPr>
      </w:pPr>
    </w:p>
    <w:p w14:paraId="02279856" w14:textId="77777777" w:rsidR="00197548" w:rsidRPr="00197548" w:rsidRDefault="00197548" w:rsidP="00197548">
      <w:pPr>
        <w:ind w:left="72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El sistema debe ser configurable. Es decir, se deb</w:t>
      </w:r>
      <w:r w:rsidR="00467145">
        <w:rPr>
          <w:rFonts w:ascii="Verdana" w:hAnsi="Verdana" w:cs="Arial"/>
          <w:szCs w:val="20"/>
        </w:rPr>
        <w:t>en poder configurar todas las propiedades establecidas en el alcance. Esto puede ser a través de una interfaz de usuario o por archivos .properties de configuración.</w:t>
      </w:r>
    </w:p>
    <w:p w14:paraId="440BC92C" w14:textId="77777777" w:rsidR="00197548" w:rsidRDefault="00197548" w:rsidP="00197548">
      <w:pPr>
        <w:rPr>
          <w:rFonts w:ascii="Verdana" w:hAnsi="Verdana" w:cs="Arial"/>
          <w:szCs w:val="20"/>
        </w:rPr>
      </w:pPr>
    </w:p>
    <w:p w14:paraId="13318417" w14:textId="77777777" w:rsidR="00467145" w:rsidRDefault="00467145" w:rsidP="00467145">
      <w:pPr>
        <w:pStyle w:val="ListParagraph"/>
        <w:numPr>
          <w:ilvl w:val="1"/>
          <w:numId w:val="1"/>
        </w:numPr>
        <w:rPr>
          <w:rFonts w:ascii="Verdana" w:hAnsi="Verdana" w:cs="Arial"/>
          <w:b/>
          <w:szCs w:val="20"/>
        </w:rPr>
      </w:pPr>
      <w:r>
        <w:rPr>
          <w:rFonts w:ascii="Verdana" w:hAnsi="Verdana" w:cs="Arial"/>
          <w:b/>
          <w:szCs w:val="20"/>
        </w:rPr>
        <w:t>Integración con Sistemas Externos</w:t>
      </w:r>
    </w:p>
    <w:p w14:paraId="6DA52E6F" w14:textId="77777777" w:rsidR="00467145" w:rsidRDefault="00467145" w:rsidP="00467145">
      <w:pPr>
        <w:rPr>
          <w:rFonts w:ascii="Verdana" w:hAnsi="Verdana" w:cs="Arial"/>
          <w:b/>
          <w:szCs w:val="20"/>
        </w:rPr>
      </w:pPr>
    </w:p>
    <w:p w14:paraId="74F34E7C" w14:textId="77777777" w:rsidR="00467145" w:rsidRPr="00467145" w:rsidRDefault="00467145" w:rsidP="00467145">
      <w:pPr>
        <w:ind w:left="720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SARP debe poder ser integrando con los sistemas externos de GAFU y SAE.</w:t>
      </w:r>
    </w:p>
    <w:p w14:paraId="31240BAD" w14:textId="77777777" w:rsidR="0080254C" w:rsidRPr="0080254C" w:rsidRDefault="0080254C" w:rsidP="0080254C">
      <w:pPr>
        <w:rPr>
          <w:rFonts w:ascii="Verdana" w:hAnsi="Verdana" w:cs="Arial"/>
          <w:szCs w:val="20"/>
        </w:rPr>
      </w:pPr>
      <w:bookmarkStart w:id="45" w:name="_GoBack"/>
      <w:bookmarkEnd w:id="45"/>
    </w:p>
    <w:sectPr w:rsidR="0080254C" w:rsidRPr="0080254C" w:rsidSect="00000D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0316F"/>
    <w:multiLevelType w:val="hybridMultilevel"/>
    <w:tmpl w:val="7F184E8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F7653A0"/>
    <w:multiLevelType w:val="hybridMultilevel"/>
    <w:tmpl w:val="B754B9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701C85"/>
    <w:multiLevelType w:val="hybridMultilevel"/>
    <w:tmpl w:val="AEC2E6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F13D88"/>
    <w:multiLevelType w:val="multilevel"/>
    <w:tmpl w:val="32D2F5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58D12E0"/>
    <w:multiLevelType w:val="hybridMultilevel"/>
    <w:tmpl w:val="A66AD1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921285F"/>
    <w:multiLevelType w:val="hybridMultilevel"/>
    <w:tmpl w:val="FE408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4C"/>
    <w:rsid w:val="00000D25"/>
    <w:rsid w:val="00184632"/>
    <w:rsid w:val="00197548"/>
    <w:rsid w:val="00467145"/>
    <w:rsid w:val="004C73E4"/>
    <w:rsid w:val="0080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9E359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254C"/>
    <w:rPr>
      <w:rFonts w:ascii="Arial" w:eastAsia="Times New Roman" w:hAnsi="Arial" w:cs="Times New Roman"/>
      <w:sz w:val="20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tulo1">
    <w:name w:val="MTítulo1"/>
    <w:basedOn w:val="MNormal"/>
    <w:rsid w:val="0080254C"/>
    <w:pPr>
      <w:spacing w:before="120" w:after="120"/>
      <w:jc w:val="center"/>
      <w:outlineLvl w:val="0"/>
    </w:pPr>
    <w:rPr>
      <w:b/>
      <w:bCs/>
      <w:sz w:val="36"/>
    </w:rPr>
  </w:style>
  <w:style w:type="paragraph" w:customStyle="1" w:styleId="MNormal">
    <w:name w:val="MNormal"/>
    <w:basedOn w:val="Normal"/>
    <w:rsid w:val="0080254C"/>
    <w:pPr>
      <w:spacing w:after="60"/>
      <w:jc w:val="both"/>
    </w:pPr>
    <w:rPr>
      <w:rFonts w:ascii="Verdana" w:hAnsi="Verdana" w:cs="Arial"/>
    </w:rPr>
  </w:style>
  <w:style w:type="paragraph" w:customStyle="1" w:styleId="infoblue">
    <w:name w:val="infoblue"/>
    <w:basedOn w:val="Normal"/>
    <w:rsid w:val="0080254C"/>
    <w:pPr>
      <w:spacing w:after="120" w:line="240" w:lineRule="atLeast"/>
      <w:ind w:left="720"/>
    </w:pPr>
    <w:rPr>
      <w:rFonts w:ascii="Times New Roman" w:hAnsi="Times New Roman"/>
      <w:i/>
      <w:iCs/>
      <w:color w:val="0000FF"/>
      <w:szCs w:val="20"/>
    </w:rPr>
  </w:style>
  <w:style w:type="paragraph" w:styleId="ListParagraph">
    <w:name w:val="List Paragraph"/>
    <w:basedOn w:val="Normal"/>
    <w:uiPriority w:val="34"/>
    <w:qFormat/>
    <w:rsid w:val="00802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209</Words>
  <Characters>1196</Characters>
  <Application>Microsoft Macintosh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SARP</vt:lpstr>
      <vt:lpstr>Criterios de Aceptación</vt:lpstr>
      <vt:lpstr>Versión 1.0</vt:lpstr>
      <vt:lpstr>Historia de revisiones</vt:lpstr>
    </vt:vector>
  </TitlesOfParts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2016-11-06T22:26:00Z</dcterms:created>
  <dcterms:modified xsi:type="dcterms:W3CDTF">2016-11-06T22:59:00Z</dcterms:modified>
</cp:coreProperties>
</file>