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widowControl w:val="1"/>
        <w:spacing w:after="120" w:before="12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  <w:tab/>
        <w:t xml:space="preserve"> </w:t>
        <w:tab/>
        <w:t xml:space="preserve"> </w:t>
        <w:tab/>
      </w:r>
    </w:p>
    <w:p w:rsidR="00000000" w:rsidDel="00000000" w:rsidP="00000000" w:rsidRDefault="00000000" w:rsidRPr="00000000">
      <w:pPr>
        <w:spacing w:after="120" w:before="120" w:line="288.00000000000006" w:lineRule="auto"/>
        <w:ind w:left="-5.999999999999872" w:firstLine="0"/>
        <w:contextualSpacing w:val="0"/>
        <w:jc w:val="both"/>
      </w:pPr>
      <w:r w:rsidDel="00000000" w:rsidR="00000000" w:rsidRPr="00000000">
        <w:rPr>
          <w:b w:val="1"/>
          <w:sz w:val="36"/>
          <w:szCs w:val="36"/>
          <w:rtl w:val="0"/>
        </w:rPr>
        <w:t xml:space="preserve">ASH Web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88.00000000000006" w:lineRule="auto"/>
        <w:ind w:left="-5.999999999999872" w:firstLine="0"/>
        <w:contextualSpacing w:val="0"/>
        <w:jc w:val="left"/>
      </w:pPr>
      <w:r w:rsidDel="00000000" w:rsidR="00000000" w:rsidRPr="00000000">
        <w:rPr>
          <w:b w:val="1"/>
          <w:sz w:val="36"/>
          <w:szCs w:val="36"/>
          <w:rtl w:val="0"/>
        </w:rPr>
        <w:t xml:space="preserve">Informe de errores detectados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88.00000000000006" w:lineRule="auto"/>
        <w:ind w:left="-5.999999999999872" w:firstLine="0"/>
        <w:contextualSpacing w:val="0"/>
        <w:jc w:val="left"/>
      </w:pPr>
      <w:r w:rsidDel="00000000" w:rsidR="00000000" w:rsidRPr="00000000">
        <w:rPr>
          <w:b w:val="1"/>
          <w:sz w:val="36"/>
          <w:szCs w:val="36"/>
          <w:rtl w:val="0"/>
        </w:rPr>
        <w:t xml:space="preserve">Versión 4.0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right="0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120" w:before="12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120" w:before="120" w:line="240" w:lineRule="auto"/>
        <w:ind w:left="-5.999999999999872" w:firstLine="0"/>
        <w:contextualSpacing w:val="0"/>
        <w:jc w:val="center"/>
      </w:pPr>
      <w:r w:rsidDel="00000000" w:rsidR="00000000" w:rsidRPr="00000000">
        <w:rPr>
          <w:b w:val="1"/>
          <w:sz w:val="36"/>
          <w:szCs w:val="36"/>
          <w:vertAlign w:val="baseline"/>
          <w:rtl w:val="0"/>
        </w:rPr>
        <w:t xml:space="preserve">Historia de revisiones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120" w:before="120" w:line="240" w:lineRule="auto"/>
        <w:ind w:left="-5.999999999999872" w:firstLine="0"/>
        <w:contextualSpacing w:val="0"/>
        <w:jc w:val="center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8735.0" w:type="dxa"/>
        <w:jc w:val="left"/>
        <w:tblInd w:w="-575.0" w:type="dxa"/>
        <w:tblLayout w:type="fixed"/>
        <w:tblLook w:val="0000"/>
      </w:tblPr>
      <w:tblGrid>
        <w:gridCol w:w="2192"/>
        <w:gridCol w:w="1117"/>
        <w:gridCol w:w="3318"/>
        <w:gridCol w:w="2108"/>
        <w:tblGridChange w:id="0">
          <w:tblGrid>
            <w:gridCol w:w="2192"/>
            <w:gridCol w:w="1117"/>
            <w:gridCol w:w="3318"/>
            <w:gridCol w:w="2108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Fecha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Versión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Semana de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Autor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01/10/2016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Semana 7</w:t>
            </w: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 - S</w:t>
            </w:r>
            <w:r w:rsidDel="00000000" w:rsidR="00000000" w:rsidRPr="00000000">
              <w:rPr>
                <w:rtl w:val="0"/>
              </w:rPr>
              <w:t xml:space="preserve">print 5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Alvaro Callero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02/10/2016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Revisión 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Isabel Ivagnes</w:t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09/10/2016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2.0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Semana 8 - Sprint 6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Alvaro Callero</w:t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16/10/2016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3.0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Semana 9 - Sprint 7 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Alvaro Callero</w:t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19/11/2016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4.0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Semana 14 - Sprint 12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widowControl w:val="1"/>
              <w:spacing w:after="60" w:before="0" w:line="240" w:lineRule="auto"/>
              <w:ind w:left="-5.999999999999872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Alvaro Callero</w:t>
            </w:r>
          </w:p>
        </w:tc>
      </w:tr>
    </w:tbl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right="0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120" w:before="120" w:line="240" w:lineRule="auto"/>
        <w:ind w:left="-5.999999999999872" w:firstLine="0"/>
        <w:contextualSpacing w:val="0"/>
        <w:jc w:val="center"/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rtl w:val="0"/>
        </w:rPr>
        <w:t xml:space="preserve">1. Introducción……………………………………………...……….……………………………..3</w:t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rtl w:val="0"/>
        </w:rPr>
        <w:t xml:space="preserve">2. Incidencias encontradas por los analizadores estáticos…...……….……………………...3</w:t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rtl w:val="0"/>
        </w:rPr>
        <w:t xml:space="preserve">3. Modo de accionar ante los errores……………………..…………..………………………...4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tabs>
          <w:tab w:val="left" w:pos="400"/>
          <w:tab w:val="right" w:pos="8494"/>
        </w:tabs>
        <w:spacing w:after="120" w:before="12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tyjcw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3dy6vkm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1t3h5s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4d34og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17dp8vu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3rdcrjn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spacing w:after="60" w:before="0" w:line="240" w:lineRule="auto"/>
        <w:ind w:left="-5.999999999999872" w:firstLine="0"/>
        <w:contextualSpacing w:val="0"/>
        <w:jc w:val="both"/>
      </w:pPr>
      <w:bookmarkStart w:colFirst="0" w:colLast="0" w:name="_26in1rg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ind w:left="-5.999999999999872" w:firstLine="0"/>
        <w:contextualSpacing w:val="0"/>
      </w:pPr>
      <w:bookmarkStart w:colFirst="0" w:colLast="0" w:name="_lnxbz9" w:id="13"/>
      <w:bookmarkEnd w:id="13"/>
      <w:r w:rsidDel="00000000" w:rsidR="00000000" w:rsidRPr="00000000">
        <w:rPr>
          <w:sz w:val="24"/>
          <w:szCs w:val="24"/>
          <w:rtl w:val="0"/>
        </w:rPr>
        <w:t xml:space="preserve">1. Introducción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El presente documento tiene como objetivo presentar los diferentes errores e incidencias detectadas por los analizadores estáticos de código que se configuraron, los cuales son Rubocop, Reek y Rail Best Practices.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El registro de errores encontrado por los analizadores, queda reflejado en el Slack dentro del channel denominado ‘code_review’, cada vez que alguien sube archivos a una rama en el repositorio de Git, realiza un pull request o se mergea una rama a la rama principal.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35nkun2" w:id="14"/>
      <w:bookmarkEnd w:id="14"/>
      <w:r w:rsidDel="00000000" w:rsidR="00000000" w:rsidRPr="00000000">
        <w:rPr>
          <w:sz w:val="24"/>
          <w:szCs w:val="24"/>
          <w:rtl w:val="0"/>
        </w:rPr>
        <w:t xml:space="preserve">2. Incidencias encontradas por los analizadores estáticos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A continuación, se mencionan los errores o incidencias más comunes que los analizadores lograron detectar dentro del código de los implementadores, al utilizar la herramienta de integración continua Travis, la cual corre los tres analizadores de código: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-Keep a blank line before and after private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Rubocop encontró que los modificadores de acceso deben estar rodeados por líneas en blanco.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-Inconsistent indentation detected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Rubocop detectó que la indentación de una porcion de codigo no era la adecuada.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-Missing space after #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Rubocop detectó que faltaba un espacio luego del carácter #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-Extra empty line detected at class body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Rubocop expresó que encontró una linea extra luego del end del cierre de la clase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-Unused method argument - entity.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Se encontró que existía una operación que recibe como argumento el parámetro ‘entity’ pero el mismo no era utilizado.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-Use 2 (not 3) spaces for indentation.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En este caso, lo que ocurrió fue que se utilizaron 3 espacios para la indentación en vez de 2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-Trailing whitespace detected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Dicha situación fue detectada cuando, al finalizar una sentencia, se dejan espacios o una línea en blanco que sobra.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i w:val="1"/>
          <w:rtl w:val="0"/>
        </w:rPr>
        <w:t xml:space="preserve">-Prefer single-quoted strings when you don't need string interpolation or special symbols.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  <w:t xml:space="preserve">En este caso, se detectó que se utilizan comillas dobles cuando se debieron utilizar comillas simples.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i w:val="1"/>
          <w:rtl w:val="0"/>
        </w:rPr>
        <w:t xml:space="preserve">-Extra empty line detected at class body beginning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  <w:t xml:space="preserve">Rubocop detectó que se dejó una línea en blanco extra al comienzo del cuerpo de un componente.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i w:val="1"/>
          <w:rtl w:val="0"/>
        </w:rPr>
        <w:t xml:space="preserve">-Tab detected.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  <w:t xml:space="preserve">RuboCop detectó que se utilizó un tabulador de manera innecesaria al comenzar una sentencia.</w:t>
      </w:r>
    </w:p>
    <w:p w:rsidR="00000000" w:rsidDel="00000000" w:rsidP="00000000" w:rsidRDefault="00000000" w:rsidRPr="00000000">
      <w:pPr>
        <w:spacing w:line="380" w:lineRule="auto"/>
        <w:ind w:left="279.0000000000001" w:firstLine="0"/>
        <w:contextualSpacing w:val="0"/>
        <w:jc w:val="right"/>
      </w:pPr>
      <w:r w:rsidDel="00000000" w:rsidR="00000000" w:rsidRPr="00000000">
        <w:rPr>
          <w:color w:val="f1f1f1"/>
          <w:sz w:val="18"/>
          <w:szCs w:val="18"/>
          <w:shd w:fill="222222" w:val="clear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-Space missing to the left of {.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Se detectó que faltaba un espacio en blanco antes del carácter ’ </w:t>
      </w:r>
      <w:r w:rsidDel="00000000" w:rsidR="00000000" w:rsidRPr="00000000">
        <w:rPr>
          <w:i w:val="1"/>
          <w:rtl w:val="0"/>
        </w:rPr>
        <w:t xml:space="preserve">{ </w:t>
      </w:r>
      <w:r w:rsidDel="00000000" w:rsidR="00000000" w:rsidRPr="00000000">
        <w:rPr>
          <w:rtl w:val="0"/>
        </w:rPr>
        <w:t xml:space="preserve">’.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i w:val="1"/>
          <w:rtl w:val="0"/>
        </w:rPr>
        <w:t xml:space="preserve">-Duplicate methods show at lines 18, 22 detected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  <w:t xml:space="preserve">En este caso se detectó que el método ‘show’ estaba duplicado en las líneas 18 y 22.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-Favor unless over if for negative conditions.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RuboCop sugiere que cuando se pregunta por una condición negativo, no utilizar if sino unless.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-Line is too long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En este caso la línea es muy larga y se tiene que partir en 2 líneas o más.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-Assignment Branch Condition size for search is too high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RuboCop determina que la operación es demasiado larga y compleja y debe refactorizarse para simplificarse,.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-Perceived complexity for search is too high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Este error está relacionado con el anterior y expresa que la operación es demasiado compleja, contiene demasiada cantidad de lógica en una sola operación.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-Align the elements of an array literal if they span more than one 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  <w:t xml:space="preserve">Dicho error se detecta cuando los elementos de un array ocupan más de 1 línea y no están alineados.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40" w:lineRule="auto"/>
        <w:ind w:left="279.0000000000001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-Use a guard clause instead of wrapping the code inside a conditional expression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Este error se da cuando se utiliza la sentencia condicional if preguntando por una condición negativa, en dicho caso, se debe sustituir por la expresión unless.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i w:val="1"/>
          <w:rtl w:val="0"/>
        </w:rPr>
        <w:t xml:space="preserve">NombreClase#nombreMetodo doesn't depend on instance state (UtilityFunction)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La gema Reek encontró que existe un método de instancia que no tiene dependencia alguna con el estado de la instancia.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-NombreClase#nombreMetodo refers to storage more than self (FeatureEnvy)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La gema Reek encontró que existe un fragmento de código el cual, hace referencia a otro objeto más que la referencia hacia sí mismo.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-NombreClase#nombreMetodo calls move_down(50) twice (DuplicateMethodCall)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Reek encontró que existen porciones de código las cuales implementan la misma lógica o son prácticamente idénticas.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</w:t>
      </w:r>
      <w:r w:rsidDel="00000000" w:rsidR="00000000" w:rsidRPr="00000000">
        <w:rPr>
          <w:i w:val="1"/>
          <w:rtl w:val="0"/>
        </w:rPr>
        <w:t xml:space="preserve">law of demeter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Rails Best Practices detectó que existe un objeto que debería solo comunicarse consigo mismo o con objetos que estén asociados directamente, en caso contrario se generan dependencias lo que reduce la mantenibilidad del código.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i w:val="1"/>
          <w:rtl w:val="0"/>
        </w:rPr>
        <w:t xml:space="preserve">-</w:t>
      </w:r>
      <w:r w:rsidDel="00000000" w:rsidR="00000000" w:rsidRPr="00000000">
        <w:rPr>
          <w:i w:val="1"/>
          <w:rtl w:val="0"/>
        </w:rPr>
        <w:t xml:space="preserve">Pass </w:t>
      </w:r>
      <w:r w:rsidDel="00000000" w:rsidR="00000000" w:rsidRPr="00000000">
        <w:rPr>
          <w:i w:val="1"/>
          <w:rtl w:val="0"/>
        </w:rPr>
        <w:t xml:space="preserve">&amp;:destroy</w:t>
      </w:r>
      <w:r w:rsidDel="00000000" w:rsidR="00000000" w:rsidRPr="00000000">
        <w:rPr>
          <w:i w:val="1"/>
          <w:rtl w:val="0"/>
        </w:rPr>
        <w:t xml:space="preserve"> as an argument to </w:t>
      </w:r>
      <w:r w:rsidDel="00000000" w:rsidR="00000000" w:rsidRPr="00000000">
        <w:rPr>
          <w:i w:val="1"/>
          <w:rtl w:val="0"/>
        </w:rPr>
        <w:t xml:space="preserve">each</w:t>
      </w:r>
      <w:r w:rsidDel="00000000" w:rsidR="00000000" w:rsidRPr="00000000">
        <w:rPr>
          <w:i w:val="1"/>
          <w:rtl w:val="0"/>
        </w:rPr>
        <w:t xml:space="preserve"> instead of a block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Rubocop sugiere que en lugar de pasar un bloque de código entero, se le pase solo el argumento (</w:t>
      </w:r>
      <w:r w:rsidDel="00000000" w:rsidR="00000000" w:rsidRPr="00000000">
        <w:rPr>
          <w:i w:val="1"/>
          <w:rtl w:val="0"/>
        </w:rPr>
        <w:t xml:space="preserve">&amp;:destroy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1ksv4uv" w:id="15"/>
      <w:bookmarkEnd w:id="15"/>
      <w:r w:rsidDel="00000000" w:rsidR="00000000" w:rsidRPr="00000000">
        <w:rPr>
          <w:sz w:val="24"/>
          <w:szCs w:val="24"/>
          <w:rtl w:val="0"/>
        </w:rPr>
        <w:t xml:space="preserve">3. Modo de accionar ante los errores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79.0000000000001" w:firstLine="0"/>
        <w:contextualSpacing w:val="0"/>
      </w:pPr>
      <w:r w:rsidDel="00000000" w:rsidR="00000000" w:rsidRPr="00000000">
        <w:rPr>
          <w:rtl w:val="0"/>
        </w:rPr>
        <w:t xml:space="preserve">Luego de que travis arroja los resultados en el canal ‘code_review’ del slack, los desarrolladores ingresan a dicho canal y observan los resultados obtenidos: en caso de que hayan surgido errores, los mismos se solucionan hasta que los resultados del Travis son correctos. De lo contrario el código no podrá ser mergeado a la rama principal.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6838" w:w="11906"/>
      <w:pgMar w:bottom="1417" w:top="1417" w:left="1701" w:right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  <w:font w:name="Georgia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widowControl w:val="1"/>
      <w:tabs>
        <w:tab w:val="right" w:pos="8505"/>
      </w:tabs>
      <w:spacing w:after="720" w:before="0" w:line="240" w:lineRule="auto"/>
      <w:ind w:left="0" w:right="0" w:firstLine="0"/>
      <w:contextualSpacing w:val="0"/>
    </w:pPr>
    <w:r w:rsidDel="00000000" w:rsidR="00000000" w:rsidRPr="00000000">
      <w:rPr>
        <w:rFonts w:ascii="Verdana" w:cs="Verdana" w:eastAsia="Verdana" w:hAnsi="Verdana"/>
        <w:b w:val="0"/>
        <w:sz w:val="16"/>
        <w:szCs w:val="16"/>
        <w:vertAlign w:val="baseline"/>
        <w:rtl w:val="0"/>
      </w:rPr>
      <w:t xml:space="preserve">Entrega Semanal de SQA</w:t>
      <w:tab/>
      <w:tab/>
      <w:t xml:space="preserve">Página </w: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Fonts w:ascii="Verdana" w:cs="Verdana" w:eastAsia="Verdana" w:hAnsi="Verdana"/>
        <w:b w:val="0"/>
        <w:sz w:val="16"/>
        <w:szCs w:val="16"/>
        <w:vertAlign w:val="baseline"/>
        <w:rtl w:val="0"/>
      </w:rPr>
      <w:t xml:space="preserve"> de </w:t>
    </w:r>
    <w:fldSimple w:instr="NUMPAGES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0" w:line="240" w:lineRule="auto"/>
      <w:ind w:left="0" w:right="0" w:firstLine="0"/>
      <w:jc w:val="both"/>
    </w:pPr>
    <w:rPr>
      <w:rFonts w:ascii="Tahoma" w:cs="Tahoma" w:eastAsia="Tahoma" w:hAnsi="Tahoma"/>
      <w:b w:val="1"/>
      <w:i w:val="1"/>
      <w:smallCaps w:val="0"/>
      <w:strike w:val="0"/>
      <w:color w:val="000000"/>
      <w:sz w:val="20"/>
      <w:szCs w:val="20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60" w:before="240" w:line="240" w:lineRule="auto"/>
      <w:ind w:left="0" w:right="0" w:firstLine="0"/>
      <w:jc w:val="both"/>
    </w:pPr>
    <w:rPr>
      <w:rFonts w:ascii="Tahoma" w:cs="Tahoma" w:eastAsia="Tahoma" w:hAnsi="Tahoma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60" w:before="24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table" w:styleId="Table1">
    <w:basedOn w:val="TableNormal"/>
    <w:pPr/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/>
      <w:rPr/>
      <w:tcPr>
        <w:tcMar>
          <w:left w:w="115.0" w:type="dxa"/>
          <w:right w:w="115.0" w:type="dxa"/>
        </w:tcMar>
      </w:tcPr>
    </w:tblStylePr>
    <w:tblStylePr w:type="band1Vert">
      <w:pPr/>
      <w:rPr/>
      <w:tcPr>
        <w:tcMar>
          <w:left w:w="115.0" w:type="dxa"/>
          <w:right w:w="115.0" w:type="dxa"/>
        </w:tcMar>
      </w:tcPr>
    </w:tblStylePr>
    <w:tblStylePr w:type="band2Horz">
      <w:pPr/>
      <w:rPr/>
      <w:tcPr>
        <w:tcMar>
          <w:left w:w="115.0" w:type="dxa"/>
          <w:right w:w="115.0" w:type="dxa"/>
        </w:tcMar>
      </w:tcPr>
    </w:tblStylePr>
    <w:tblStylePr w:type="band2Vert">
      <w:pPr/>
      <w:rPr/>
      <w:tcPr>
        <w:tcMar>
          <w:left w:w="115.0" w:type="dxa"/>
          <w:right w:w="115.0" w:type="dxa"/>
        </w:tcMar>
      </w:tcPr>
    </w:tblStylePr>
    <w:tblStylePr w:type="firstCol">
      <w:pPr/>
      <w:rPr/>
      <w:tcPr>
        <w:tcMar>
          <w:left w:w="115.0" w:type="dxa"/>
          <w:right w:w="115.0" w:type="dxa"/>
        </w:tcMar>
      </w:tcPr>
    </w:tblStylePr>
    <w:tblStylePr w:type="firstRow">
      <w:pPr/>
      <w:rPr/>
      <w:tcPr>
        <w:tcMar>
          <w:left w:w="115.0" w:type="dxa"/>
          <w:right w:w="115.0" w:type="dxa"/>
        </w:tcMar>
      </w:tcPr>
    </w:tblStylePr>
    <w:tblStylePr w:type="lastCol">
      <w:pPr/>
      <w:rPr/>
      <w:tcPr>
        <w:tcMar>
          <w:left w:w="115.0" w:type="dxa"/>
          <w:right w:w="115.0" w:type="dxa"/>
        </w:tcMar>
      </w:tcPr>
    </w:tblStylePr>
    <w:tblStylePr w:type="lastRow">
      <w:pPr/>
      <w:rPr/>
      <w:tcPr>
        <w:tcMar>
          <w:left w:w="115.0" w:type="dxa"/>
          <w:right w:w="115.0" w:type="dxa"/>
        </w:tcMar>
      </w:tcPr>
    </w:tblStylePr>
    <w:tblStylePr w:type="neCell">
      <w:pPr/>
      <w:rPr/>
      <w:tcPr>
        <w:tcMar>
          <w:left w:w="115.0" w:type="dxa"/>
          <w:right w:w="115.0" w:type="dxa"/>
        </w:tcMar>
      </w:tcPr>
    </w:tblStylePr>
    <w:tblStylePr w:type="nwCell">
      <w:pPr/>
      <w:rPr/>
      <w:tcPr>
        <w:tcMar>
          <w:left w:w="115.0" w:type="dxa"/>
          <w:right w:w="115.0" w:type="dxa"/>
        </w:tcMar>
      </w:tcPr>
    </w:tblStylePr>
    <w:tblStylePr w:type="seCell">
      <w:pPr/>
      <w:rPr/>
      <w:tcPr>
        <w:tcMar>
          <w:left w:w="115.0" w:type="dxa"/>
          <w:right w:w="115.0" w:type="dxa"/>
        </w:tcMar>
      </w:tcPr>
    </w:tblStylePr>
    <w:tblStylePr w:type="swCell">
      <w:pPr/>
      <w:rPr/>
      <w:tcPr>
        <w:tcMar>
          <w:left w:w="115.0" w:type="dxa"/>
          <w:right w:w="115.0" w:type="dxa"/>
        </w:tcMar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